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8DFC1">
      <w:pPr>
        <w:spacing w:before="45" w:line="224" w:lineRule="auto"/>
        <w:rPr>
          <w:rFonts w:ascii="黑体" w:hAnsi="黑体" w:eastAsia="黑体" w:cs="黑体"/>
          <w:color w:val="auto"/>
          <w:sz w:val="22"/>
          <w:szCs w:val="22"/>
        </w:rPr>
      </w:pPr>
      <w:r>
        <w:rPr>
          <w:rFonts w:ascii="黑体" w:hAnsi="黑体" w:eastAsia="黑体" w:cs="黑体"/>
          <w:color w:val="auto"/>
          <w:spacing w:val="-6"/>
          <w:sz w:val="22"/>
          <w:szCs w:val="22"/>
        </w:rPr>
        <w:t>附件1</w:t>
      </w:r>
    </w:p>
    <w:p w14:paraId="7CE323CD">
      <w:pPr>
        <w:spacing w:before="37" w:line="219" w:lineRule="auto"/>
        <w:ind w:left="325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2"/>
          <w:szCs w:val="22"/>
          <w:lang w:eastAsia="zh-CN"/>
        </w:rPr>
        <w:t>中央对地方</w:t>
      </w:r>
      <w:r>
        <w:rPr>
          <w:rFonts w:ascii="宋体" w:hAnsi="宋体" w:eastAsia="宋体" w:cs="宋体"/>
          <w:b/>
          <w:bCs/>
          <w:color w:val="auto"/>
          <w:spacing w:val="-3"/>
          <w:sz w:val="22"/>
          <w:szCs w:val="22"/>
        </w:rPr>
        <w:t>转移支付区域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b/>
          <w:bCs/>
          <w:color w:val="auto"/>
          <w:spacing w:val="-3"/>
          <w:sz w:val="22"/>
          <w:szCs w:val="22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b/>
          <w:bCs/>
          <w:color w:val="auto"/>
          <w:spacing w:val="-3"/>
          <w:sz w:val="22"/>
          <w:szCs w:val="22"/>
        </w:rPr>
        <w:t>绩效自评表</w:t>
      </w:r>
    </w:p>
    <w:p w14:paraId="60EDFC3B">
      <w:pPr>
        <w:spacing w:line="58" w:lineRule="exact"/>
        <w:rPr>
          <w:color w:val="auto"/>
        </w:rPr>
      </w:pPr>
    </w:p>
    <w:tbl>
      <w:tblPr>
        <w:tblStyle w:val="4"/>
        <w:tblW w:w="505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08"/>
        <w:gridCol w:w="1238"/>
        <w:gridCol w:w="1924"/>
        <w:gridCol w:w="1643"/>
        <w:gridCol w:w="1771"/>
        <w:gridCol w:w="1718"/>
        <w:gridCol w:w="1001"/>
        <w:gridCol w:w="650"/>
        <w:gridCol w:w="2493"/>
      </w:tblGrid>
      <w:tr w14:paraId="052F9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983" w:type="pct"/>
            <w:gridSpan w:val="3"/>
            <w:vAlign w:val="center"/>
          </w:tcPr>
          <w:p w14:paraId="55DA34F5">
            <w:pPr>
              <w:spacing w:before="42" w:line="218" w:lineRule="auto"/>
              <w:ind w:left="47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转移支付名称</w:t>
            </w:r>
          </w:p>
        </w:tc>
        <w:tc>
          <w:tcPr>
            <w:tcW w:w="4016" w:type="pct"/>
            <w:gridSpan w:val="7"/>
            <w:vAlign w:val="center"/>
          </w:tcPr>
          <w:p w14:paraId="12925B4C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重大公共卫生服务补助资金</w:t>
            </w:r>
          </w:p>
        </w:tc>
      </w:tr>
      <w:tr w14:paraId="4744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3" w:type="pct"/>
            <w:gridSpan w:val="3"/>
            <w:vAlign w:val="center"/>
          </w:tcPr>
          <w:p w14:paraId="41AEF6DE">
            <w:pPr>
              <w:spacing w:before="37" w:line="218" w:lineRule="auto"/>
              <w:ind w:left="47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4016" w:type="pct"/>
            <w:gridSpan w:val="7"/>
            <w:vAlign w:val="center"/>
          </w:tcPr>
          <w:p w14:paraId="2430D0B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国家卫健委、国家疾控局</w:t>
            </w:r>
          </w:p>
        </w:tc>
      </w:tr>
      <w:tr w14:paraId="01BD6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83" w:type="pct"/>
            <w:gridSpan w:val="3"/>
            <w:vAlign w:val="center"/>
          </w:tcPr>
          <w:p w14:paraId="57D46229">
            <w:pPr>
              <w:spacing w:before="117" w:line="219" w:lineRule="auto"/>
              <w:ind w:left="47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1914" w:type="pct"/>
            <w:gridSpan w:val="3"/>
            <w:vAlign w:val="center"/>
          </w:tcPr>
          <w:p w14:paraId="2970F7D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鄂州市卫健委、市疾控局</w:t>
            </w:r>
          </w:p>
        </w:tc>
        <w:tc>
          <w:tcPr>
            <w:tcW w:w="616" w:type="pct"/>
            <w:vAlign w:val="center"/>
          </w:tcPr>
          <w:p w14:paraId="5522C185">
            <w:pPr>
              <w:spacing w:before="117" w:line="219" w:lineRule="auto"/>
              <w:ind w:left="6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1485" w:type="pct"/>
            <w:gridSpan w:val="3"/>
            <w:vAlign w:val="center"/>
          </w:tcPr>
          <w:p w14:paraId="78B1AE74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鄂州市疾控中心</w:t>
            </w:r>
          </w:p>
        </w:tc>
      </w:tr>
      <w:tr w14:paraId="1F1FE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83" w:type="pct"/>
            <w:gridSpan w:val="3"/>
            <w:vMerge w:val="restart"/>
            <w:tcBorders>
              <w:bottom w:val="nil"/>
            </w:tcBorders>
            <w:vAlign w:val="center"/>
          </w:tcPr>
          <w:p w14:paraId="21553273">
            <w:pPr>
              <w:pStyle w:val="5"/>
              <w:spacing w:line="302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6BF313B6">
            <w:pPr>
              <w:pStyle w:val="5"/>
              <w:spacing w:line="303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7BA05D97">
            <w:pPr>
              <w:spacing w:before="59" w:line="220" w:lineRule="auto"/>
              <w:ind w:left="20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</w:rPr>
              <w:t>资金投入情况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0" w:type="pct"/>
            <w:vAlign w:val="center"/>
          </w:tcPr>
          <w:p w14:paraId="1D645FFA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0BEC8196">
            <w:pPr>
              <w:spacing w:before="147" w:line="219" w:lineRule="auto"/>
              <w:ind w:left="203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年初预算数</w:t>
            </w:r>
          </w:p>
        </w:tc>
        <w:tc>
          <w:tcPr>
            <w:tcW w:w="635" w:type="pct"/>
            <w:vAlign w:val="center"/>
          </w:tcPr>
          <w:p w14:paraId="1CF5AAD0">
            <w:pPr>
              <w:spacing w:before="47" w:line="219" w:lineRule="auto"/>
              <w:ind w:left="19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全年预算数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18"/>
                <w:szCs w:val="18"/>
              </w:rPr>
              <w:t>(A)</w:t>
            </w:r>
          </w:p>
        </w:tc>
        <w:tc>
          <w:tcPr>
            <w:tcW w:w="975" w:type="pct"/>
            <w:gridSpan w:val="2"/>
            <w:vAlign w:val="center"/>
          </w:tcPr>
          <w:p w14:paraId="67F0259D">
            <w:pPr>
              <w:spacing w:before="147" w:line="219" w:lineRule="auto"/>
              <w:ind w:left="36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8"/>
                <w:szCs w:val="18"/>
              </w:rPr>
              <w:t>全年执行数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26" w:type="pct"/>
            <w:gridSpan w:val="2"/>
            <w:vAlign w:val="center"/>
          </w:tcPr>
          <w:p w14:paraId="2F786E9C">
            <w:pPr>
              <w:spacing w:before="147" w:line="219" w:lineRule="auto"/>
              <w:ind w:left="427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</w:rPr>
              <w:t>执行率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</w:rPr>
              <w:t>B/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AX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18"/>
                <w:szCs w:val="18"/>
                <w:lang w:eastAsia="zh-CN"/>
              </w:rPr>
              <w:t>）</w:t>
            </w:r>
          </w:p>
        </w:tc>
      </w:tr>
      <w:tr w14:paraId="591E8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460B63F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4E27EF8">
            <w:pPr>
              <w:spacing w:before="48" w:line="217" w:lineRule="auto"/>
              <w:ind w:left="122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年度资金总额：</w:t>
            </w:r>
          </w:p>
        </w:tc>
        <w:tc>
          <w:tcPr>
            <w:tcW w:w="589" w:type="pct"/>
            <w:vAlign w:val="center"/>
          </w:tcPr>
          <w:p w14:paraId="6FECD586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724.81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83D128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724.81</w:t>
            </w:r>
          </w:p>
        </w:tc>
        <w:tc>
          <w:tcPr>
            <w:tcW w:w="975" w:type="pct"/>
            <w:gridSpan w:val="2"/>
            <w:vAlign w:val="center"/>
          </w:tcPr>
          <w:p w14:paraId="1BA8CF23">
            <w:pPr>
              <w:pStyle w:val="5"/>
              <w:jc w:val="both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436.39</w:t>
            </w:r>
          </w:p>
        </w:tc>
        <w:tc>
          <w:tcPr>
            <w:tcW w:w="1126" w:type="pct"/>
            <w:gridSpan w:val="2"/>
            <w:vAlign w:val="center"/>
          </w:tcPr>
          <w:p w14:paraId="6B52C4CB">
            <w:pPr>
              <w:pStyle w:val="5"/>
              <w:jc w:val="both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60.02%</w:t>
            </w:r>
          </w:p>
        </w:tc>
      </w:tr>
      <w:tr w14:paraId="3FACB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0C667C1C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7746DE76">
            <w:pPr>
              <w:spacing w:before="39" w:line="216" w:lineRule="auto"/>
              <w:ind w:left="72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其中：中央补助</w:t>
            </w:r>
          </w:p>
        </w:tc>
        <w:tc>
          <w:tcPr>
            <w:tcW w:w="589" w:type="pct"/>
            <w:vAlign w:val="center"/>
          </w:tcPr>
          <w:p w14:paraId="6376C00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518.22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EFE2684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518.22</w:t>
            </w:r>
          </w:p>
        </w:tc>
        <w:tc>
          <w:tcPr>
            <w:tcW w:w="975" w:type="pct"/>
            <w:gridSpan w:val="2"/>
            <w:vAlign w:val="center"/>
          </w:tcPr>
          <w:p w14:paraId="40D1079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229.87</w:t>
            </w:r>
          </w:p>
        </w:tc>
        <w:tc>
          <w:tcPr>
            <w:tcW w:w="1126" w:type="pct"/>
            <w:gridSpan w:val="2"/>
            <w:vAlign w:val="center"/>
          </w:tcPr>
          <w:p w14:paraId="48040E1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44.3%</w:t>
            </w:r>
          </w:p>
        </w:tc>
      </w:tr>
      <w:tr w14:paraId="55401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2D5D733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C145CDE">
            <w:pPr>
              <w:spacing w:before="49" w:line="216" w:lineRule="auto"/>
              <w:ind w:left="642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地方资金</w:t>
            </w:r>
          </w:p>
        </w:tc>
        <w:tc>
          <w:tcPr>
            <w:tcW w:w="589" w:type="pct"/>
            <w:vAlign w:val="center"/>
          </w:tcPr>
          <w:p w14:paraId="6E4F708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173.25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CBE5EB9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173.25</w:t>
            </w:r>
          </w:p>
        </w:tc>
        <w:tc>
          <w:tcPr>
            <w:tcW w:w="975" w:type="pct"/>
            <w:gridSpan w:val="2"/>
            <w:vAlign w:val="center"/>
          </w:tcPr>
          <w:p w14:paraId="52786E7A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173.18</w:t>
            </w:r>
          </w:p>
        </w:tc>
        <w:tc>
          <w:tcPr>
            <w:tcW w:w="1126" w:type="pct"/>
            <w:gridSpan w:val="2"/>
            <w:vAlign w:val="center"/>
          </w:tcPr>
          <w:p w14:paraId="0A8B8DD9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99.9%</w:t>
            </w:r>
          </w:p>
        </w:tc>
      </w:tr>
      <w:tr w14:paraId="40D2A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</w:tcBorders>
            <w:vAlign w:val="center"/>
          </w:tcPr>
          <w:p w14:paraId="4FF6864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3B455CC7">
            <w:pPr>
              <w:spacing w:before="18" w:line="186" w:lineRule="auto"/>
              <w:ind w:left="593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589" w:type="pct"/>
            <w:vAlign w:val="center"/>
          </w:tcPr>
          <w:p w14:paraId="59C6DB28">
            <w:pPr>
              <w:pStyle w:val="5"/>
              <w:spacing w:line="200" w:lineRule="exact"/>
              <w:jc w:val="both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33.34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3CC10BD">
            <w:pPr>
              <w:pStyle w:val="5"/>
              <w:spacing w:line="2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33.34</w:t>
            </w:r>
          </w:p>
        </w:tc>
        <w:tc>
          <w:tcPr>
            <w:tcW w:w="975" w:type="pct"/>
            <w:gridSpan w:val="2"/>
            <w:vAlign w:val="center"/>
          </w:tcPr>
          <w:p w14:paraId="72012926">
            <w:pPr>
              <w:pStyle w:val="5"/>
              <w:spacing w:line="200" w:lineRule="exact"/>
              <w:jc w:val="both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33.34</w:t>
            </w:r>
          </w:p>
        </w:tc>
        <w:tc>
          <w:tcPr>
            <w:tcW w:w="1126" w:type="pct"/>
            <w:gridSpan w:val="2"/>
            <w:vAlign w:val="center"/>
          </w:tcPr>
          <w:p w14:paraId="644F603B">
            <w:pPr>
              <w:pStyle w:val="5"/>
              <w:spacing w:line="200" w:lineRule="exact"/>
              <w:jc w:val="both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</w:tr>
      <w:tr w14:paraId="2F7A7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83" w:type="pct"/>
            <w:gridSpan w:val="3"/>
            <w:vMerge w:val="restart"/>
            <w:tcBorders>
              <w:bottom w:val="nil"/>
            </w:tcBorders>
            <w:vAlign w:val="center"/>
          </w:tcPr>
          <w:p w14:paraId="28A251F8">
            <w:pPr>
              <w:pStyle w:val="5"/>
              <w:spacing w:line="314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626466AB">
            <w:pPr>
              <w:pStyle w:val="5"/>
              <w:spacing w:line="315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4A0B955A">
            <w:pPr>
              <w:pStyle w:val="5"/>
              <w:spacing w:line="315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39B338CD">
            <w:pPr>
              <w:spacing w:before="58" w:line="219" w:lineRule="auto"/>
              <w:ind w:left="47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690" w:type="pct"/>
            <w:vAlign w:val="center"/>
          </w:tcPr>
          <w:p w14:paraId="533643C8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99" w:type="pct"/>
            <w:gridSpan w:val="4"/>
            <w:vAlign w:val="center"/>
          </w:tcPr>
          <w:p w14:paraId="67128ED3">
            <w:pPr>
              <w:spacing w:before="48" w:line="217" w:lineRule="auto"/>
              <w:ind w:left="1943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126" w:type="pct"/>
            <w:gridSpan w:val="2"/>
            <w:vAlign w:val="center"/>
          </w:tcPr>
          <w:p w14:paraId="0297A11B">
            <w:pPr>
              <w:spacing w:before="48" w:line="217" w:lineRule="auto"/>
              <w:ind w:left="337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存在问题和改进措施</w:t>
            </w:r>
          </w:p>
        </w:tc>
      </w:tr>
      <w:tr w14:paraId="7DFEC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3183869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630609E">
            <w:pPr>
              <w:spacing w:before="37" w:line="218" w:lineRule="auto"/>
              <w:ind w:left="253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2199" w:type="pct"/>
            <w:gridSpan w:val="4"/>
            <w:vAlign w:val="center"/>
          </w:tcPr>
          <w:p w14:paraId="13C4CB9E">
            <w:pPr>
              <w:pStyle w:val="5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科学合理</w:t>
            </w:r>
          </w:p>
        </w:tc>
        <w:tc>
          <w:tcPr>
            <w:tcW w:w="1126" w:type="pct"/>
            <w:gridSpan w:val="2"/>
            <w:vAlign w:val="center"/>
          </w:tcPr>
          <w:p w14:paraId="2F2D331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BC25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5E7B90C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F4C6729">
            <w:pPr>
              <w:spacing w:before="49" w:line="216" w:lineRule="auto"/>
              <w:ind w:left="253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2199" w:type="pct"/>
            <w:gridSpan w:val="4"/>
            <w:vAlign w:val="center"/>
          </w:tcPr>
          <w:p w14:paraId="10362946">
            <w:pPr>
              <w:pStyle w:val="5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1126" w:type="pct"/>
            <w:gridSpan w:val="2"/>
            <w:vAlign w:val="center"/>
          </w:tcPr>
          <w:p w14:paraId="4B8955D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2A79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1FA366E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8AA5579">
            <w:pPr>
              <w:spacing w:before="38" w:line="217" w:lineRule="auto"/>
              <w:ind w:left="253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2199" w:type="pct"/>
            <w:gridSpan w:val="4"/>
            <w:vAlign w:val="center"/>
          </w:tcPr>
          <w:p w14:paraId="67EDB420">
            <w:pPr>
              <w:pStyle w:val="5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制定方案，按方案执行，拨付合规</w:t>
            </w:r>
          </w:p>
        </w:tc>
        <w:tc>
          <w:tcPr>
            <w:tcW w:w="1126" w:type="pct"/>
            <w:gridSpan w:val="2"/>
            <w:vAlign w:val="center"/>
          </w:tcPr>
          <w:p w14:paraId="30E52C4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0918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40DC321A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AFD56C5">
            <w:pPr>
              <w:spacing w:before="38" w:line="217" w:lineRule="auto"/>
              <w:ind w:left="253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2199" w:type="pct"/>
            <w:gridSpan w:val="4"/>
            <w:vAlign w:val="center"/>
          </w:tcPr>
          <w:p w14:paraId="49A6FF28">
            <w:pPr>
              <w:pStyle w:val="5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按方案执行，使用规范</w:t>
            </w:r>
          </w:p>
        </w:tc>
        <w:tc>
          <w:tcPr>
            <w:tcW w:w="1126" w:type="pct"/>
            <w:gridSpan w:val="2"/>
            <w:vAlign w:val="center"/>
          </w:tcPr>
          <w:p w14:paraId="25D7025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6D64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205E826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09D26FD4">
            <w:pPr>
              <w:spacing w:before="48" w:line="219" w:lineRule="auto"/>
              <w:ind w:left="253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2199" w:type="pct"/>
            <w:gridSpan w:val="4"/>
            <w:vAlign w:val="center"/>
          </w:tcPr>
          <w:p w14:paraId="0DB08AAF">
            <w:pPr>
              <w:pStyle w:val="5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按方案执行，执行准确</w:t>
            </w:r>
          </w:p>
        </w:tc>
        <w:tc>
          <w:tcPr>
            <w:tcW w:w="1126" w:type="pct"/>
            <w:gridSpan w:val="2"/>
            <w:vAlign w:val="center"/>
          </w:tcPr>
          <w:p w14:paraId="0246E46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95F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568A37BC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AFBB8D1">
            <w:pPr>
              <w:spacing w:before="38" w:line="217" w:lineRule="auto"/>
              <w:ind w:left="72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预算绩效管理情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lang w:eastAsia="zh-CN"/>
              </w:rPr>
              <w:t>况</w:t>
            </w:r>
          </w:p>
        </w:tc>
        <w:tc>
          <w:tcPr>
            <w:tcW w:w="2199" w:type="pct"/>
            <w:gridSpan w:val="4"/>
            <w:vAlign w:val="center"/>
          </w:tcPr>
          <w:p w14:paraId="1A16D32E">
            <w:pPr>
              <w:pStyle w:val="5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合理、可行</w:t>
            </w:r>
          </w:p>
        </w:tc>
        <w:tc>
          <w:tcPr>
            <w:tcW w:w="1126" w:type="pct"/>
            <w:gridSpan w:val="2"/>
            <w:vAlign w:val="center"/>
          </w:tcPr>
          <w:p w14:paraId="23B82F6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3585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83" w:type="pct"/>
            <w:gridSpan w:val="3"/>
            <w:vMerge w:val="continue"/>
            <w:tcBorders>
              <w:top w:val="nil"/>
            </w:tcBorders>
            <w:vAlign w:val="center"/>
          </w:tcPr>
          <w:p w14:paraId="5A9189CC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5F1F1069">
            <w:pPr>
              <w:spacing w:before="38" w:line="217" w:lineRule="auto"/>
              <w:ind w:left="72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支出责任履行情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况</w:t>
            </w:r>
          </w:p>
        </w:tc>
        <w:tc>
          <w:tcPr>
            <w:tcW w:w="2199" w:type="pct"/>
            <w:gridSpan w:val="4"/>
            <w:vAlign w:val="center"/>
          </w:tcPr>
          <w:p w14:paraId="674AF5C6">
            <w:pPr>
              <w:pStyle w:val="5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按方案执行，责任到人，支出合规</w:t>
            </w:r>
          </w:p>
        </w:tc>
        <w:tc>
          <w:tcPr>
            <w:tcW w:w="1126" w:type="pct"/>
            <w:gridSpan w:val="2"/>
            <w:vAlign w:val="center"/>
          </w:tcPr>
          <w:p w14:paraId="0A829EC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6BC4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85" w:type="pct"/>
            <w:vMerge w:val="restart"/>
            <w:tcBorders>
              <w:bottom w:val="nil"/>
            </w:tcBorders>
            <w:vAlign w:val="center"/>
          </w:tcPr>
          <w:p w14:paraId="3DADE0BA">
            <w:pPr>
              <w:spacing w:before="119" w:line="214" w:lineRule="auto"/>
              <w:ind w:left="24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sz w:val="18"/>
                <w:szCs w:val="18"/>
              </w:rPr>
              <w:t>总体目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标完成情况</w:t>
            </w:r>
          </w:p>
        </w:tc>
        <w:tc>
          <w:tcPr>
            <w:tcW w:w="2612" w:type="pct"/>
            <w:gridSpan w:val="5"/>
            <w:vAlign w:val="center"/>
          </w:tcPr>
          <w:p w14:paraId="39C84FF7">
            <w:pPr>
              <w:spacing w:before="88" w:line="220" w:lineRule="auto"/>
              <w:ind w:left="239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2101" w:type="pct"/>
            <w:gridSpan w:val="4"/>
            <w:vAlign w:val="center"/>
          </w:tcPr>
          <w:p w14:paraId="0128B660">
            <w:pPr>
              <w:spacing w:before="88" w:line="219" w:lineRule="auto"/>
              <w:ind w:left="151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全年实际完成情况</w:t>
            </w:r>
          </w:p>
        </w:tc>
      </w:tr>
      <w:tr w14:paraId="3F179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7" w:hRule="atLeast"/>
          <w:jc w:val="center"/>
        </w:trPr>
        <w:tc>
          <w:tcPr>
            <w:tcW w:w="285" w:type="pct"/>
            <w:vMerge w:val="continue"/>
            <w:tcBorders>
              <w:top w:val="nil"/>
            </w:tcBorders>
            <w:vAlign w:val="center"/>
          </w:tcPr>
          <w:p w14:paraId="0819703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12" w:type="pct"/>
            <w:gridSpan w:val="5"/>
            <w:vAlign w:val="center"/>
          </w:tcPr>
          <w:p w14:paraId="558689FB">
            <w:pPr>
              <w:pStyle w:val="5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以乡镇为单位适龄儿童疫苗接种率大于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90%；麻疹风疹监测病例大于2/10万人。</w:t>
            </w:r>
          </w:p>
          <w:p w14:paraId="4D6B5D78">
            <w:pPr>
              <w:pStyle w:val="5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 w:bidi="ar"/>
              </w:rPr>
              <w:t>以遏制艾滋病传播为目标，强化四方责任，凝聚各方力量，聚焦重点和难点问题，突出重点地区、重点人群和重点环节，完善防治政策和措施，不断提高防治措施覆盖面和质量，将艾滋病疫情继续控制在低流行水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。</w:t>
            </w:r>
          </w:p>
          <w:p w14:paraId="2F7AE43E">
            <w:pPr>
              <w:pStyle w:val="5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降低结核病的感染、发病与死亡，提高全人口健康水平。</w:t>
            </w:r>
          </w:p>
          <w:p w14:paraId="2583568B">
            <w:pPr>
              <w:pStyle w:val="5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开展重点慢病监测，完成了肿瘤监测报告、心脑血管疾病报告系统的变更。</w:t>
            </w:r>
          </w:p>
          <w:p w14:paraId="26A2AB81">
            <w:pPr>
              <w:pStyle w:val="5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细菌性传染病监测（国家致病菌识别网）监测任务完成率517%。病毒性腹泻监测任务完成率275%。急性呼吸道传染病哨点监测、流感样病例哨点监测任务完成率134%。禽流感和SARS等突发急性传染病防控监测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任务完成率10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%。新冠和猴痘等病毒变异监测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任务完成率149%。重点传染病监测完成率113%。城市污水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监测任务完成率100%。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麻风和寄生虫监测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任务完成率100%。学生常见病和健康影响因素监测完成率100%。水质数据网络直报率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。</w:t>
            </w:r>
          </w:p>
          <w:p w14:paraId="696BC2F3">
            <w:pPr>
              <w:pStyle w:val="5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全年人群血吸虫病巡检筛查6050人，全年查螺662.5万m²，全年人群血吸虫病巡检完成率1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%，全年查螺完成率110%超额完成指标任务。</w:t>
            </w:r>
          </w:p>
        </w:tc>
        <w:tc>
          <w:tcPr>
            <w:tcW w:w="2101" w:type="pct"/>
            <w:gridSpan w:val="4"/>
            <w:vAlign w:val="center"/>
          </w:tcPr>
          <w:p w14:paraId="0DB307ED">
            <w:pPr>
              <w:ind w:firstLine="270" w:firstLineChars="150"/>
              <w:jc w:val="both"/>
              <w:rPr>
                <w:rFonts w:hint="eastAsia" w:ascii="宋体" w:hAnsi="宋体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以乡镇为单位疫苗接种率达到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7.56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监测报告发热出疹性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病例31例，监测报告率达到2.90/10万人。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艾滋病高危人群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累计检测吸毒人员154人次，卖淫人员101人次，嫖客81人次，检出HIV抗体阳性2例，检出梅毒抗体阳性24例，丙肝抗体阳性6例。暗娼人群、性病门诊男性就诊者、孕产妇哨点监测工作完成率100%。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2024年发现和治疗活动性肺结核患者526例，死亡0例，发现和免费治疗肺结核患者的任务完成率为105.20%，肺结核患者成功治疗率98.60%，病原学阳性肺结核患者耐药筛查率97.01%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开展死因、心脑血管疾病、肿瘤监测，掌握我市居民死亡原因构成、重点慢性病发病情况，为我市制定慢病防控政策和评价干预措施提供科学依据。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重点传染病监测职业暴露人群血清104份，环境120份，监测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任务完成率10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%。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新冠和猴痘等病毒变异监测：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符合要求的新冠阳性样本基因测序率100%，新冠病毒基因测序179份，任务完成率149%。学生常见病和健康影响因素监测完成率100%。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18"/>
                <w:szCs w:val="18"/>
                <w:lang w:eastAsia="zh-CN"/>
              </w:rPr>
              <w:t>食品安全风险监测数据平台、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水质数据</w:t>
            </w:r>
            <w:bookmarkStart w:id="0" w:name="_Hlk57996485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网络直报已全部录入完毕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，较好完成今年监测任务。全年人群血吸虫病巡检筛查6050人，全年查螺662.5万m²，全年人群血吸虫病巡检完成率1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%，全年查螺完成率110%超额完成指标任务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 w14:paraId="2DC5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5" w:type="pct"/>
            <w:vMerge w:val="restart"/>
            <w:tcBorders>
              <w:bottom w:val="nil"/>
            </w:tcBorders>
            <w:textDirection w:val="tbRlV"/>
            <w:vAlign w:val="center"/>
          </w:tcPr>
          <w:p w14:paraId="140568CF">
            <w:pPr>
              <w:spacing w:before="218" w:line="217" w:lineRule="auto"/>
              <w:ind w:left="3204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绩效指标</w:t>
            </w:r>
          </w:p>
        </w:tc>
        <w:tc>
          <w:tcPr>
            <w:tcW w:w="254" w:type="pct"/>
            <w:vAlign w:val="center"/>
          </w:tcPr>
          <w:p w14:paraId="2A6205C1">
            <w:pPr>
              <w:spacing w:before="11" w:line="207" w:lineRule="auto"/>
              <w:ind w:left="70" w:right="76" w:firstLine="9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444" w:type="pct"/>
            <w:vAlign w:val="center"/>
          </w:tcPr>
          <w:p w14:paraId="7884D190">
            <w:pPr>
              <w:spacing w:before="130" w:line="220" w:lineRule="auto"/>
              <w:ind w:left="81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1914" w:type="pct"/>
            <w:gridSpan w:val="3"/>
            <w:vAlign w:val="center"/>
          </w:tcPr>
          <w:p w14:paraId="6B6E6023">
            <w:pPr>
              <w:spacing w:before="130" w:line="220" w:lineRule="auto"/>
              <w:ind w:left="1642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616" w:type="pct"/>
            <w:vAlign w:val="center"/>
          </w:tcPr>
          <w:p w14:paraId="01500991">
            <w:pPr>
              <w:spacing w:before="130" w:line="219" w:lineRule="auto"/>
              <w:ind w:left="33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592" w:type="pct"/>
            <w:gridSpan w:val="2"/>
            <w:vAlign w:val="center"/>
          </w:tcPr>
          <w:p w14:paraId="217D6DF7">
            <w:pPr>
              <w:spacing w:before="130" w:line="219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全年实际完成值</w:t>
            </w:r>
          </w:p>
        </w:tc>
        <w:tc>
          <w:tcPr>
            <w:tcW w:w="893" w:type="pct"/>
            <w:vAlign w:val="center"/>
          </w:tcPr>
          <w:p w14:paraId="0C8E16E0">
            <w:pPr>
              <w:spacing w:before="130" w:line="219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未完成原因和改进措施</w:t>
            </w:r>
          </w:p>
        </w:tc>
      </w:tr>
      <w:tr w14:paraId="269A5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CC9D61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tcBorders>
              <w:bottom w:val="nil"/>
            </w:tcBorders>
            <w:textDirection w:val="tbRlV"/>
            <w:vAlign w:val="center"/>
          </w:tcPr>
          <w:p w14:paraId="6558782B">
            <w:pPr>
              <w:spacing w:before="178" w:line="216" w:lineRule="auto"/>
              <w:ind w:left="108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tcBorders>
              <w:bottom w:val="nil"/>
            </w:tcBorders>
            <w:vAlign w:val="center"/>
          </w:tcPr>
          <w:p w14:paraId="6BEBF267">
            <w:pPr>
              <w:pStyle w:val="5"/>
              <w:spacing w:before="241" w:line="200" w:lineRule="exact"/>
              <w:ind w:left="81"/>
              <w:jc w:val="both"/>
              <w:rPr>
                <w:rFonts w:hint="eastAsia" w:ascii="Arial" w:hAnsi="Arial" w:eastAsia="宋体" w:cs="Arial"/>
                <w:color w:val="auto"/>
                <w:spacing w:val="0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pacing w:val="0"/>
                <w:sz w:val="17"/>
                <w:szCs w:val="21"/>
                <w:lang w:eastAsia="zh-CN"/>
              </w:rPr>
              <w:t>数量指标</w:t>
            </w: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6593FDE6">
            <w:pPr>
              <w:pStyle w:val="5"/>
              <w:spacing w:line="200" w:lineRule="exact"/>
              <w:rPr>
                <w:rFonts w:hint="eastAsia" w:eastAsia="宋体"/>
                <w:color w:val="auto"/>
                <w:sz w:val="17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lang w:eastAsia="zh-CN"/>
              </w:rPr>
              <w:t>肺结核患者治疗任务完成率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4B9B8DE">
            <w:pPr>
              <w:pStyle w:val="5"/>
              <w:widowControl/>
              <w:snapToGrid w:val="0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lang w:eastAsia="zh-CN"/>
              </w:rPr>
              <w:t>≥85%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C03CAFE">
            <w:pPr>
              <w:pStyle w:val="5"/>
              <w:widowControl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lang w:eastAsia="zh-CN"/>
              </w:rPr>
              <w:t>105.20%</w:t>
            </w:r>
          </w:p>
        </w:tc>
        <w:tc>
          <w:tcPr>
            <w:tcW w:w="893" w:type="pct"/>
            <w:vAlign w:val="center"/>
          </w:tcPr>
          <w:p w14:paraId="0BE42158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22D79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EFD57C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bottom w:val="nil"/>
            </w:tcBorders>
            <w:textDirection w:val="tbRlV"/>
            <w:vAlign w:val="center"/>
          </w:tcPr>
          <w:p w14:paraId="70AF930C">
            <w:pPr>
              <w:spacing w:before="178" w:line="216" w:lineRule="auto"/>
              <w:ind w:left="108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产出指标</w:t>
            </w:r>
          </w:p>
        </w:tc>
        <w:tc>
          <w:tcPr>
            <w:tcW w:w="444" w:type="pct"/>
            <w:vMerge w:val="restart"/>
            <w:vAlign w:val="center"/>
          </w:tcPr>
          <w:p w14:paraId="3BA97F56">
            <w:pPr>
              <w:spacing w:before="241" w:line="219" w:lineRule="auto"/>
              <w:ind w:left="81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3FA3BD7A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细菌性传染病监测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277EA01C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500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00421681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2585</w:t>
            </w:r>
          </w:p>
        </w:tc>
        <w:tc>
          <w:tcPr>
            <w:tcW w:w="893" w:type="pct"/>
            <w:vAlign w:val="center"/>
          </w:tcPr>
          <w:p w14:paraId="6A64271F">
            <w:pPr>
              <w:pStyle w:val="5"/>
              <w:spacing w:line="20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CDBB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27E59F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705022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4D60653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35B0571A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auto"/>
                <w:kern w:val="0"/>
                <w:sz w:val="17"/>
                <w:szCs w:val="21"/>
                <w:lang w:val="en-US" w:eastAsia="zh-CN" w:bidi="ar-SA"/>
              </w:rPr>
              <w:t>病毒性腹泻监测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36A9A5F4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auto"/>
                <w:kern w:val="0"/>
                <w:sz w:val="17"/>
                <w:szCs w:val="21"/>
                <w:lang w:val="en-US" w:eastAsia="zh-CN" w:bidi="ar-SA"/>
              </w:rPr>
              <w:t>120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40358D0F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auto"/>
                <w:kern w:val="0"/>
                <w:sz w:val="17"/>
                <w:szCs w:val="21"/>
                <w:lang w:val="en-US" w:eastAsia="zh-CN" w:bidi="ar-SA"/>
              </w:rPr>
              <w:t>330</w:t>
            </w:r>
          </w:p>
        </w:tc>
        <w:tc>
          <w:tcPr>
            <w:tcW w:w="893" w:type="pct"/>
            <w:vAlign w:val="center"/>
          </w:tcPr>
          <w:p w14:paraId="17681E9F">
            <w:pPr>
              <w:pStyle w:val="5"/>
              <w:spacing w:line="20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A9CB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CB6BE7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DD3C499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5F42A74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761A3CA8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急性呼吸道传染病哨点监测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61E1105C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1560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1CE65314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2097</w:t>
            </w:r>
          </w:p>
        </w:tc>
        <w:tc>
          <w:tcPr>
            <w:tcW w:w="893" w:type="pct"/>
            <w:vAlign w:val="center"/>
          </w:tcPr>
          <w:p w14:paraId="234A3A54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120C9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0BF60E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A3C5BA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47D79B4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3300BB0A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禽流感等突发性传染病防控监测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4C4C21B5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220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7D70A825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224</w:t>
            </w:r>
          </w:p>
        </w:tc>
        <w:tc>
          <w:tcPr>
            <w:tcW w:w="893" w:type="pct"/>
            <w:vAlign w:val="center"/>
          </w:tcPr>
          <w:p w14:paraId="57164806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CAA7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454DFDB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8437A8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4FCD851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49B1980D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新冠病毒变异监测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259FC9C8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120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4B37B259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179</w:t>
            </w:r>
          </w:p>
        </w:tc>
        <w:tc>
          <w:tcPr>
            <w:tcW w:w="893" w:type="pct"/>
            <w:vAlign w:val="center"/>
          </w:tcPr>
          <w:p w14:paraId="2854F2E0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2F249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C4CC088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229ADD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151CCBB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704247B7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手足口病毒监测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76D4D107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180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617DEDED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204</w:t>
            </w:r>
          </w:p>
        </w:tc>
        <w:tc>
          <w:tcPr>
            <w:tcW w:w="893" w:type="pct"/>
            <w:vAlign w:val="center"/>
          </w:tcPr>
          <w:p w14:paraId="7FAC9766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71E2B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D28A63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45917B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1590DD24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41D87179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城市污水监测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54D05FD4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240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21E33EFF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240</w:t>
            </w:r>
          </w:p>
        </w:tc>
        <w:tc>
          <w:tcPr>
            <w:tcW w:w="893" w:type="pct"/>
            <w:vAlign w:val="center"/>
          </w:tcPr>
          <w:p w14:paraId="0FF79E1E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1A198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09FBD6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2C98F1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47F8C18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7C67E5F2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土源性线虫监测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7A9E4E33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1000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1CB5AE93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1000</w:t>
            </w:r>
          </w:p>
        </w:tc>
        <w:tc>
          <w:tcPr>
            <w:tcW w:w="893" w:type="pct"/>
            <w:vAlign w:val="center"/>
          </w:tcPr>
          <w:p w14:paraId="4B0322CC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230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6CE2E8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A56A607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266CA9E8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3C56DCA6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重点传染病调查处置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09B56D4C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监测到即处置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7D332180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20</w:t>
            </w:r>
          </w:p>
        </w:tc>
        <w:tc>
          <w:tcPr>
            <w:tcW w:w="893" w:type="pct"/>
            <w:vAlign w:val="center"/>
          </w:tcPr>
          <w:p w14:paraId="001E10C0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1D986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CFFCEA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D58572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5E5DFAD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26A73E9A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开展食源性疾病流行病学调查事件数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5128286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≥辖区常住人口数×2.5起/百万人口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5440A7B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3</w:t>
            </w:r>
          </w:p>
        </w:tc>
        <w:tc>
          <w:tcPr>
            <w:tcW w:w="893" w:type="pct"/>
            <w:vAlign w:val="center"/>
          </w:tcPr>
          <w:p w14:paraId="1ABCBAE5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4930F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44E7C84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A2D0EB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18DEBBBC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07D81AFA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食源性病例报告数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FE4FF11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≥辖区常住人口数×2人/十万人口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724432B5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  <w:t>600</w:t>
            </w:r>
          </w:p>
        </w:tc>
        <w:tc>
          <w:tcPr>
            <w:tcW w:w="893" w:type="pct"/>
            <w:vAlign w:val="center"/>
          </w:tcPr>
          <w:p w14:paraId="13A5F787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4A905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C14B34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23F2D47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202E748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15F00CFD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枯水期监测62份水样全分析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37A91125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2046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45D87A17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2046</w:t>
            </w:r>
          </w:p>
        </w:tc>
        <w:tc>
          <w:tcPr>
            <w:tcW w:w="893" w:type="pct"/>
            <w:vAlign w:val="center"/>
          </w:tcPr>
          <w:p w14:paraId="77C0ADE7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360D4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D29464C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D17BFF6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030C2B3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62F9CE9A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丰水期监测62份水样全分析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15ED413C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2170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23DBEA53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2170</w:t>
            </w:r>
          </w:p>
        </w:tc>
        <w:tc>
          <w:tcPr>
            <w:tcW w:w="893" w:type="pct"/>
            <w:vAlign w:val="center"/>
          </w:tcPr>
          <w:p w14:paraId="69774148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3221F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264DCDA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007F41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799C0B17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14:paraId="72B8A792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人群血吸虫病巡检筛查（人）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FEFC91B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5000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CCE1E76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6050</w:t>
            </w:r>
          </w:p>
        </w:tc>
        <w:tc>
          <w:tcPr>
            <w:tcW w:w="893" w:type="pct"/>
            <w:vAlign w:val="center"/>
          </w:tcPr>
          <w:p w14:paraId="2A4CF37F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6E33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001B99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4BF68EA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tcBorders>
              <w:bottom w:val="nil"/>
            </w:tcBorders>
            <w:vAlign w:val="center"/>
          </w:tcPr>
          <w:p w14:paraId="29C079A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14:paraId="08275BD5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查螺面积（万m²）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4F3C477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600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6BB72DDD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662.5</w:t>
            </w:r>
          </w:p>
        </w:tc>
        <w:tc>
          <w:tcPr>
            <w:tcW w:w="893" w:type="pct"/>
            <w:vAlign w:val="center"/>
          </w:tcPr>
          <w:p w14:paraId="4151A017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48E2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6FF82F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B796E36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restart"/>
            <w:tcBorders>
              <w:bottom w:val="nil"/>
            </w:tcBorders>
            <w:vAlign w:val="center"/>
          </w:tcPr>
          <w:p w14:paraId="3619D9C8">
            <w:pPr>
              <w:spacing w:before="252" w:line="220" w:lineRule="auto"/>
              <w:ind w:left="81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14:paraId="5595D006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人群血吸虫病巡检完成率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B12277E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≥90%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AA3ACAC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121%</w:t>
            </w:r>
          </w:p>
        </w:tc>
        <w:tc>
          <w:tcPr>
            <w:tcW w:w="893" w:type="pct"/>
            <w:vAlign w:val="center"/>
          </w:tcPr>
          <w:p w14:paraId="0E06807F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B949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F425B4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7627AC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04B13DE1">
            <w:pPr>
              <w:spacing w:before="252" w:line="220" w:lineRule="auto"/>
              <w:ind w:left="81"/>
              <w:jc w:val="both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14:paraId="40508DEB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查螺完成率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1D63B56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≥90%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0F703FA2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/>
              </w:rPr>
              <w:t>110%</w:t>
            </w:r>
          </w:p>
        </w:tc>
        <w:tc>
          <w:tcPr>
            <w:tcW w:w="893" w:type="pct"/>
            <w:vAlign w:val="center"/>
          </w:tcPr>
          <w:p w14:paraId="552D88A4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2F4B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5465A7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6B00E7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3F90ECE7">
            <w:pPr>
              <w:spacing w:before="252" w:line="220" w:lineRule="auto"/>
              <w:ind w:left="81"/>
              <w:jc w:val="both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vAlign w:val="center"/>
          </w:tcPr>
          <w:p w14:paraId="7BDCF4DD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以乡镇为单位适龄儿童疫苗接种率</w:t>
            </w:r>
          </w:p>
        </w:tc>
        <w:tc>
          <w:tcPr>
            <w:tcW w:w="616" w:type="pct"/>
            <w:vAlign w:val="center"/>
          </w:tcPr>
          <w:p w14:paraId="084ED690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color w:val="auto"/>
                <w:sz w:val="17"/>
                <w:szCs w:val="21"/>
                <w:lang w:eastAsia="zh-CN"/>
              </w:rPr>
              <w:t>&gt;</w:t>
            </w: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90%</w:t>
            </w:r>
          </w:p>
        </w:tc>
        <w:tc>
          <w:tcPr>
            <w:tcW w:w="592" w:type="pct"/>
            <w:gridSpan w:val="2"/>
            <w:vAlign w:val="center"/>
          </w:tcPr>
          <w:p w14:paraId="7A7C2790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highlight w:val="none"/>
                <w:lang w:val="en-US" w:eastAsia="zh-CN"/>
              </w:rPr>
              <w:t>7.56</w:t>
            </w: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highlight w:val="none"/>
                <w:lang w:eastAsia="zh-CN"/>
              </w:rPr>
              <w:t>%</w:t>
            </w:r>
          </w:p>
        </w:tc>
        <w:tc>
          <w:tcPr>
            <w:tcW w:w="893" w:type="pct"/>
            <w:vAlign w:val="center"/>
          </w:tcPr>
          <w:p w14:paraId="4DC570C2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19859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106527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A677C1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tcBorders>
              <w:top w:val="nil"/>
              <w:bottom w:val="nil"/>
            </w:tcBorders>
            <w:vAlign w:val="center"/>
          </w:tcPr>
          <w:p w14:paraId="6190F8A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14:paraId="70ED2D7A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麻疹风疹监测病例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E126585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＞2/10万人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3FB883B8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2.90/10万人</w:t>
            </w:r>
          </w:p>
        </w:tc>
        <w:tc>
          <w:tcPr>
            <w:tcW w:w="893" w:type="pct"/>
            <w:vAlign w:val="center"/>
          </w:tcPr>
          <w:p w14:paraId="75940AD4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39F09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C36CF7A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45C809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tcBorders>
              <w:top w:val="nil"/>
              <w:bottom w:val="nil"/>
            </w:tcBorders>
            <w:vAlign w:val="center"/>
          </w:tcPr>
          <w:p w14:paraId="31C7B8F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vAlign w:val="center"/>
          </w:tcPr>
          <w:p w14:paraId="08EB97F3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艾滋病高危人群（暗娼、男男同性性行为人群）干预任务检测完成率</w:t>
            </w:r>
          </w:p>
        </w:tc>
        <w:tc>
          <w:tcPr>
            <w:tcW w:w="616" w:type="pct"/>
            <w:vAlign w:val="center"/>
          </w:tcPr>
          <w:p w14:paraId="2B9264B7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100%（暗娼600人次，男男同性性行为人群500人次，性病门诊400人次）</w:t>
            </w:r>
          </w:p>
        </w:tc>
        <w:tc>
          <w:tcPr>
            <w:tcW w:w="592" w:type="pct"/>
            <w:gridSpan w:val="2"/>
            <w:vAlign w:val="center"/>
          </w:tcPr>
          <w:p w14:paraId="2F762AF7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暗娼检测692人次，完成率115%；男男检测818人次，完成率164%；性病门诊检测1074人次，完成率269%。</w:t>
            </w:r>
          </w:p>
        </w:tc>
        <w:tc>
          <w:tcPr>
            <w:tcW w:w="893" w:type="pct"/>
            <w:vAlign w:val="center"/>
          </w:tcPr>
          <w:p w14:paraId="2F0DD9FC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0AE6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2AE3EA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A9EA00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center"/>
          </w:tcPr>
          <w:p w14:paraId="42F5049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vAlign w:val="center"/>
          </w:tcPr>
          <w:p w14:paraId="14FF4B31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艾滋病免费抗病毒治疗任务</w:t>
            </w:r>
          </w:p>
        </w:tc>
        <w:tc>
          <w:tcPr>
            <w:tcW w:w="616" w:type="pct"/>
            <w:vAlign w:val="center"/>
          </w:tcPr>
          <w:p w14:paraId="74E21AF3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治100%（治疗450例）</w:t>
            </w:r>
          </w:p>
        </w:tc>
        <w:tc>
          <w:tcPr>
            <w:tcW w:w="592" w:type="pct"/>
            <w:gridSpan w:val="2"/>
            <w:vAlign w:val="center"/>
          </w:tcPr>
          <w:p w14:paraId="3676BC82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现抗病毒治疗518例，完成率115%</w:t>
            </w:r>
          </w:p>
        </w:tc>
        <w:tc>
          <w:tcPr>
            <w:tcW w:w="893" w:type="pct"/>
            <w:vAlign w:val="center"/>
          </w:tcPr>
          <w:p w14:paraId="63E508A7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CCB2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BEAC3D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12A67DB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</w:tcBorders>
            <w:vAlign w:val="center"/>
          </w:tcPr>
          <w:p w14:paraId="3120098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vAlign w:val="center"/>
          </w:tcPr>
          <w:p w14:paraId="07FC8C79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肺结核患者成功治疗率</w:t>
            </w:r>
          </w:p>
        </w:tc>
        <w:tc>
          <w:tcPr>
            <w:tcW w:w="616" w:type="pct"/>
            <w:vAlign w:val="center"/>
          </w:tcPr>
          <w:p w14:paraId="4DB6EFC5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≥90%</w:t>
            </w:r>
          </w:p>
        </w:tc>
        <w:tc>
          <w:tcPr>
            <w:tcW w:w="592" w:type="pct"/>
            <w:gridSpan w:val="2"/>
            <w:vAlign w:val="center"/>
          </w:tcPr>
          <w:p w14:paraId="1DFC3710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lang w:eastAsia="zh-CN"/>
              </w:rPr>
              <w:t>98.60%</w:t>
            </w:r>
          </w:p>
        </w:tc>
        <w:tc>
          <w:tcPr>
            <w:tcW w:w="893" w:type="pct"/>
            <w:vAlign w:val="center"/>
          </w:tcPr>
          <w:p w14:paraId="539FA83D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130A2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21FBBD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CD59724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</w:tcBorders>
            <w:vAlign w:val="center"/>
          </w:tcPr>
          <w:p w14:paraId="2FC13398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vAlign w:val="center"/>
          </w:tcPr>
          <w:p w14:paraId="2F3EE38A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病原学阳性肺结核患者耐药筛查率</w:t>
            </w:r>
          </w:p>
        </w:tc>
        <w:tc>
          <w:tcPr>
            <w:tcW w:w="616" w:type="pct"/>
            <w:vAlign w:val="center"/>
          </w:tcPr>
          <w:p w14:paraId="0BB8B8C7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≥90%</w:t>
            </w:r>
          </w:p>
        </w:tc>
        <w:tc>
          <w:tcPr>
            <w:tcW w:w="592" w:type="pct"/>
            <w:gridSpan w:val="2"/>
            <w:vAlign w:val="center"/>
          </w:tcPr>
          <w:p w14:paraId="1CB79F3C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lang w:eastAsia="zh-CN"/>
              </w:rPr>
              <w:t>97.01%</w:t>
            </w:r>
          </w:p>
        </w:tc>
        <w:tc>
          <w:tcPr>
            <w:tcW w:w="893" w:type="pct"/>
            <w:vAlign w:val="center"/>
          </w:tcPr>
          <w:p w14:paraId="67B241D3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CA2A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64E52E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F914806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</w:tcBorders>
            <w:vAlign w:val="center"/>
          </w:tcPr>
          <w:p w14:paraId="404C24A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vAlign w:val="center"/>
          </w:tcPr>
          <w:p w14:paraId="13CC8E0D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学生常见病和健康影响因素监测、学生近视、肥胖、龋齿、脊柱弯曲等疾病干预覆盖学校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AFEE85B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1.共监测7589名学生。2.完成18所学校六项公共卫生干预行动。3.在18所监测学校随机抽取102间教室，完成教学环境卫生监测。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798144D2">
            <w:pPr>
              <w:pStyle w:val="5"/>
              <w:spacing w:line="200" w:lineRule="exact"/>
              <w:jc w:val="center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100%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A6D72F3">
            <w:pPr>
              <w:pStyle w:val="5"/>
              <w:spacing w:line="200" w:lineRule="exact"/>
              <w:jc w:val="center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</w:p>
        </w:tc>
      </w:tr>
      <w:tr w14:paraId="1101B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E92053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10176E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</w:tcBorders>
            <w:vAlign w:val="center"/>
          </w:tcPr>
          <w:p w14:paraId="0CBD6F64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436FECBB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枯水期监测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69F420E1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≥95%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2FA7EAD2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100%</w:t>
            </w:r>
          </w:p>
        </w:tc>
        <w:tc>
          <w:tcPr>
            <w:tcW w:w="893" w:type="pct"/>
            <w:vAlign w:val="center"/>
          </w:tcPr>
          <w:p w14:paraId="233C8A08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73E53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995F4BF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8761508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</w:tcBorders>
            <w:vAlign w:val="center"/>
          </w:tcPr>
          <w:p w14:paraId="2CDFE6A9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0818F856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丰水期监测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6282AB9A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≥95%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7F8DE80F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100%</w:t>
            </w:r>
          </w:p>
        </w:tc>
        <w:tc>
          <w:tcPr>
            <w:tcW w:w="893" w:type="pct"/>
            <w:vAlign w:val="center"/>
          </w:tcPr>
          <w:p w14:paraId="00CE2C1D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0A6E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EF88A8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5F415D7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restart"/>
            <w:tcBorders>
              <w:bottom w:val="nil"/>
            </w:tcBorders>
            <w:vAlign w:val="center"/>
          </w:tcPr>
          <w:p w14:paraId="1EB22BC6">
            <w:pPr>
              <w:spacing w:before="253" w:line="220" w:lineRule="auto"/>
              <w:ind w:left="81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42F87A48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－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监测预警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7C182832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eastAsia="zh-CN"/>
              </w:rPr>
              <w:t>及时</w:t>
            </w: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率90%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7D11DF68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eastAsia="zh-CN"/>
              </w:rPr>
              <w:t>及时</w:t>
            </w: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率100%</w:t>
            </w:r>
          </w:p>
        </w:tc>
        <w:tc>
          <w:tcPr>
            <w:tcW w:w="893" w:type="pct"/>
            <w:vAlign w:val="center"/>
          </w:tcPr>
          <w:p w14:paraId="0B7C50ED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4B0C0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87F6A98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A73DFF6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tcBorders>
              <w:top w:val="nil"/>
              <w:bottom w:val="nil"/>
            </w:tcBorders>
            <w:vAlign w:val="center"/>
          </w:tcPr>
          <w:p w14:paraId="64C90D8C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3AECEFAF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－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应急处置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2C80A2B0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eastAsia="zh-CN"/>
              </w:rPr>
              <w:t>及时</w:t>
            </w: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率90%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6AA3EC7F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eastAsia="zh-CN"/>
              </w:rPr>
              <w:t>及时</w:t>
            </w: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率100%</w:t>
            </w:r>
          </w:p>
        </w:tc>
        <w:tc>
          <w:tcPr>
            <w:tcW w:w="893" w:type="pct"/>
            <w:vAlign w:val="center"/>
          </w:tcPr>
          <w:p w14:paraId="58BD8A06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DE4C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7C05F9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F281B59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center"/>
          </w:tcPr>
          <w:p w14:paraId="17FF45F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7E0591DF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－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检测及时率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2A2C2AC0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  <w:t>及时率90%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69F8F13D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  <w:t>及时率100%</w:t>
            </w:r>
          </w:p>
        </w:tc>
        <w:tc>
          <w:tcPr>
            <w:tcW w:w="893" w:type="pct"/>
            <w:vAlign w:val="center"/>
          </w:tcPr>
          <w:p w14:paraId="3B6A08FF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2E87E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886475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CE05DAB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tcBorders>
              <w:bottom w:val="nil"/>
            </w:tcBorders>
            <w:vAlign w:val="center"/>
          </w:tcPr>
          <w:p w14:paraId="04632970">
            <w:pPr>
              <w:spacing w:before="242" w:line="219" w:lineRule="auto"/>
              <w:ind w:left="81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44DD5993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枯水期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32个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监测点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6D353CD1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2685元/监测点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012423D2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2685元/监测点</w:t>
            </w:r>
          </w:p>
        </w:tc>
        <w:tc>
          <w:tcPr>
            <w:tcW w:w="893" w:type="pct"/>
            <w:vAlign w:val="center"/>
          </w:tcPr>
          <w:p w14:paraId="4667A232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44DD7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D5E2097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bottom w:val="nil"/>
            </w:tcBorders>
            <w:textDirection w:val="tbRlV"/>
            <w:vAlign w:val="center"/>
          </w:tcPr>
          <w:p w14:paraId="44739B8C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tcBorders>
              <w:bottom w:val="nil"/>
            </w:tcBorders>
            <w:vAlign w:val="center"/>
          </w:tcPr>
          <w:p w14:paraId="4D0F1FA2">
            <w:pPr>
              <w:spacing w:before="242" w:line="219" w:lineRule="auto"/>
              <w:jc w:val="both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65788C3C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丰水期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32个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监测点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1CAC35F8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2685元/监测点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7731F872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lang w:val="en-US" w:eastAsia="zh-CN"/>
              </w:rPr>
              <w:t>2685元/监测点</w:t>
            </w:r>
          </w:p>
        </w:tc>
        <w:tc>
          <w:tcPr>
            <w:tcW w:w="893" w:type="pct"/>
            <w:vAlign w:val="center"/>
          </w:tcPr>
          <w:p w14:paraId="53A22810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1EADD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63BAF0A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bottom w:val="nil"/>
            </w:tcBorders>
            <w:textDirection w:val="tbRlV"/>
            <w:vAlign w:val="center"/>
          </w:tcPr>
          <w:p w14:paraId="6FF50D45">
            <w:pPr>
              <w:spacing w:before="177" w:line="217" w:lineRule="auto"/>
              <w:ind w:left="1088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效益指标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center"/>
          </w:tcPr>
          <w:p w14:paraId="0662713B">
            <w:pPr>
              <w:spacing w:before="154" w:line="213" w:lineRule="auto"/>
              <w:ind w:left="261" w:right="95" w:hanging="18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经济效益指标</w:t>
            </w: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487240AD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－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避免大规模传染病疫情影响经济运行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7E9FAABF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正向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6620A10D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未发生规模疫情</w:t>
            </w:r>
          </w:p>
        </w:tc>
        <w:tc>
          <w:tcPr>
            <w:tcW w:w="893" w:type="pct"/>
            <w:vAlign w:val="center"/>
          </w:tcPr>
          <w:p w14:paraId="19F029BB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73A41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76EAE8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9CE985E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tcBorders>
              <w:top w:val="nil"/>
              <w:bottom w:val="nil"/>
            </w:tcBorders>
            <w:vAlign w:val="center"/>
          </w:tcPr>
          <w:p w14:paraId="6C0BEED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787D6517">
            <w:pPr>
              <w:pStyle w:val="5"/>
              <w:spacing w:line="200" w:lineRule="exac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－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减少医疗资源浪费和医保支出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14523CC2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正向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67F99629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减少因传染病住院的费用支出，降低了医疗资源挤兑风险</w:t>
            </w:r>
          </w:p>
        </w:tc>
        <w:tc>
          <w:tcPr>
            <w:tcW w:w="893" w:type="pct"/>
            <w:vAlign w:val="center"/>
          </w:tcPr>
          <w:p w14:paraId="76055B1C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020AF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20B9F0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ECE80D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098A09C">
            <w:pPr>
              <w:spacing w:before="174" w:line="213" w:lineRule="auto"/>
              <w:ind w:left="261" w:right="95" w:hanging="18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社会效益指标</w:t>
            </w: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18201A19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预防传染病聚集或暴发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3564F6F7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预期指标：早发现早处置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0968C8B3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无重大传染病疫情蔓延</w:t>
            </w:r>
          </w:p>
        </w:tc>
        <w:tc>
          <w:tcPr>
            <w:tcW w:w="893" w:type="pct"/>
            <w:vAlign w:val="center"/>
          </w:tcPr>
          <w:p w14:paraId="146E5557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7EB85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4C698FA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D3346E1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5E446BD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7986F157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为政府制定决策提供科学依据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1705F943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预期指标：传染病防控有成效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3650AB10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每月报送疫情防控提示</w:t>
            </w:r>
          </w:p>
        </w:tc>
        <w:tc>
          <w:tcPr>
            <w:tcW w:w="893" w:type="pct"/>
            <w:vAlign w:val="center"/>
          </w:tcPr>
          <w:p w14:paraId="318BA466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043F0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A89397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1162DC2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3F8A480B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top"/>
          </w:tcPr>
          <w:p w14:paraId="3F50848F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为经济社会服务，保障平稳运行</w:t>
            </w:r>
          </w:p>
        </w:tc>
        <w:tc>
          <w:tcPr>
            <w:tcW w:w="616" w:type="pct"/>
            <w:shd w:val="clear" w:color="auto" w:fill="auto"/>
            <w:vAlign w:val="top"/>
          </w:tcPr>
          <w:p w14:paraId="19004530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eastAsia="zh-CN"/>
              </w:rPr>
              <w:t>良好</w:t>
            </w:r>
          </w:p>
        </w:tc>
        <w:tc>
          <w:tcPr>
            <w:tcW w:w="592" w:type="pct"/>
            <w:gridSpan w:val="2"/>
            <w:shd w:val="clear" w:color="auto" w:fill="auto"/>
            <w:vAlign w:val="top"/>
          </w:tcPr>
          <w:p w14:paraId="056EE10E">
            <w:pPr>
              <w:pStyle w:val="5"/>
              <w:spacing w:line="200" w:lineRule="exac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eastAsia="zh-CN"/>
              </w:rPr>
              <w:t>良好</w:t>
            </w:r>
          </w:p>
        </w:tc>
        <w:tc>
          <w:tcPr>
            <w:tcW w:w="893" w:type="pct"/>
            <w:vAlign w:val="center"/>
          </w:tcPr>
          <w:p w14:paraId="11BE28D0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1ABAB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7EE3B84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85C420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restart"/>
            <w:tcBorders>
              <w:bottom w:val="nil"/>
            </w:tcBorders>
            <w:vAlign w:val="center"/>
          </w:tcPr>
          <w:p w14:paraId="7D99D0F3">
            <w:pPr>
              <w:spacing w:before="155" w:line="218" w:lineRule="auto"/>
              <w:ind w:left="261" w:right="95" w:hanging="18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生态效益指标</w:t>
            </w: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14:paraId="324A5C78">
            <w:pPr>
              <w:pStyle w:val="5"/>
              <w:spacing w:line="200" w:lineRule="exact"/>
              <w:jc w:val="both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－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保护城市水环境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BD3065F">
            <w:pPr>
              <w:pStyle w:val="5"/>
              <w:spacing w:line="200" w:lineRule="exact"/>
              <w:jc w:val="both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良好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852E24A">
            <w:pPr>
              <w:pStyle w:val="5"/>
              <w:spacing w:line="200" w:lineRule="exact"/>
              <w:jc w:val="both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早干预处置</w:t>
            </w:r>
          </w:p>
        </w:tc>
        <w:tc>
          <w:tcPr>
            <w:tcW w:w="893" w:type="pct"/>
            <w:vAlign w:val="center"/>
          </w:tcPr>
          <w:p w14:paraId="5C9D8233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75C4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5AE873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FFF6CC3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E8A1859">
            <w:pPr>
              <w:spacing w:before="155" w:line="219" w:lineRule="auto"/>
              <w:ind w:left="81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可持续影</w:t>
            </w:r>
          </w:p>
          <w:p w14:paraId="493EC806">
            <w:pPr>
              <w:spacing w:before="7" w:line="220" w:lineRule="auto"/>
              <w:ind w:left="172"/>
              <w:jc w:val="both"/>
              <w:rPr>
                <w:rFonts w:hint="eastAsia" w:ascii="宋体" w:hAnsi="宋体" w:eastAsia="宋体" w:cs="宋体"/>
                <w:color w:val="auto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18"/>
                <w:szCs w:val="18"/>
              </w:rPr>
              <w:t>响指标</w:t>
            </w:r>
          </w:p>
          <w:p w14:paraId="47E37BA0">
            <w:pPr>
              <w:spacing w:before="43" w:line="170" w:lineRule="auto"/>
              <w:ind w:left="351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vAlign w:val="center"/>
          </w:tcPr>
          <w:p w14:paraId="1B571775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艾滋病疫情处于低流水平</w:t>
            </w:r>
          </w:p>
        </w:tc>
        <w:tc>
          <w:tcPr>
            <w:tcW w:w="616" w:type="pct"/>
            <w:vAlign w:val="center"/>
          </w:tcPr>
          <w:p w14:paraId="08F2F133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持续</w:t>
            </w:r>
          </w:p>
        </w:tc>
        <w:tc>
          <w:tcPr>
            <w:tcW w:w="592" w:type="pct"/>
            <w:gridSpan w:val="2"/>
            <w:vAlign w:val="center"/>
          </w:tcPr>
          <w:p w14:paraId="0FE5FE75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全市疫情持续保持在低流行水平</w:t>
            </w:r>
          </w:p>
        </w:tc>
        <w:tc>
          <w:tcPr>
            <w:tcW w:w="893" w:type="pct"/>
            <w:vAlign w:val="center"/>
          </w:tcPr>
          <w:p w14:paraId="63D6E1E8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3333A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76D2E47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F58A55B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5B09E11B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vAlign w:val="center"/>
          </w:tcPr>
          <w:p w14:paraId="71B49958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掌握儿童青少年主要常见病情况和影响健康的主要因素</w:t>
            </w:r>
          </w:p>
        </w:tc>
        <w:tc>
          <w:tcPr>
            <w:tcW w:w="616" w:type="pct"/>
            <w:vAlign w:val="center"/>
          </w:tcPr>
          <w:p w14:paraId="443A5E83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进一步采取针对性干预措施，保障和促进全市儿童青少年健康</w:t>
            </w:r>
          </w:p>
        </w:tc>
        <w:tc>
          <w:tcPr>
            <w:tcW w:w="592" w:type="pct"/>
            <w:gridSpan w:val="2"/>
            <w:vAlign w:val="center"/>
          </w:tcPr>
          <w:p w14:paraId="728CA66D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逐步提升</w:t>
            </w:r>
          </w:p>
        </w:tc>
        <w:tc>
          <w:tcPr>
            <w:tcW w:w="893" w:type="pct"/>
            <w:vAlign w:val="center"/>
          </w:tcPr>
          <w:p w14:paraId="38265C2E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2A595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2949C8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1273CD5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1549E2F6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vAlign w:val="center"/>
          </w:tcPr>
          <w:p w14:paraId="3693B0EB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  <w:t>巩</w:t>
            </w: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固消除疟疾及其他寄生虫病防治成果</w:t>
            </w:r>
          </w:p>
        </w:tc>
        <w:tc>
          <w:tcPr>
            <w:tcW w:w="616" w:type="pct"/>
            <w:vAlign w:val="center"/>
          </w:tcPr>
          <w:p w14:paraId="2444A635">
            <w:pPr>
              <w:pStyle w:val="5"/>
              <w:spacing w:line="200" w:lineRule="exact"/>
              <w:jc w:val="both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巩固提升</w:t>
            </w:r>
          </w:p>
        </w:tc>
        <w:tc>
          <w:tcPr>
            <w:tcW w:w="592" w:type="pct"/>
            <w:gridSpan w:val="2"/>
            <w:vAlign w:val="center"/>
          </w:tcPr>
          <w:p w14:paraId="1BBEA6E3">
            <w:pPr>
              <w:pStyle w:val="5"/>
              <w:spacing w:line="200" w:lineRule="exact"/>
              <w:jc w:val="both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sz w:val="17"/>
                <w:szCs w:val="21"/>
                <w:lang w:val="en-US" w:eastAsia="zh-CN"/>
              </w:rPr>
              <w:t>巩固提升</w:t>
            </w:r>
          </w:p>
        </w:tc>
        <w:tc>
          <w:tcPr>
            <w:tcW w:w="893" w:type="pct"/>
            <w:vAlign w:val="center"/>
          </w:tcPr>
          <w:p w14:paraId="4E70B19B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74A4E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33A2DCD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tcBorders>
              <w:top w:val="nil"/>
            </w:tcBorders>
            <w:textDirection w:val="tbRlV"/>
            <w:vAlign w:val="center"/>
          </w:tcPr>
          <w:p w14:paraId="4DF1B130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vAlign w:val="center"/>
          </w:tcPr>
          <w:p w14:paraId="7C87789E">
            <w:pPr>
              <w:spacing w:before="43" w:line="170" w:lineRule="auto"/>
              <w:ind w:left="351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14:paraId="5F7A2F8F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－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完善监测体系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10C7AE6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良好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292D36B0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7"/>
                <w:lang w:val="en-US" w:eastAsia="zh-CN"/>
              </w:rPr>
              <w:t>良好</w:t>
            </w:r>
          </w:p>
        </w:tc>
        <w:tc>
          <w:tcPr>
            <w:tcW w:w="893" w:type="pct"/>
            <w:vAlign w:val="center"/>
          </w:tcPr>
          <w:p w14:paraId="201080FF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55850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285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519EEDC">
            <w:pPr>
              <w:pStyle w:val="5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4" w:type="pct"/>
            <w:tcBorders>
              <w:bottom w:val="nil"/>
            </w:tcBorders>
            <w:vAlign w:val="center"/>
          </w:tcPr>
          <w:p w14:paraId="26EA9C2B">
            <w:pPr>
              <w:spacing w:before="166" w:line="206" w:lineRule="auto"/>
              <w:ind w:left="8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满意度指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标</w:t>
            </w:r>
          </w:p>
        </w:tc>
        <w:tc>
          <w:tcPr>
            <w:tcW w:w="444" w:type="pct"/>
            <w:vAlign w:val="center"/>
          </w:tcPr>
          <w:p w14:paraId="0C418754">
            <w:pPr>
              <w:spacing w:before="46" w:line="205" w:lineRule="auto"/>
              <w:ind w:left="81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服务对象满意度指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标</w:t>
            </w:r>
          </w:p>
        </w:tc>
        <w:tc>
          <w:tcPr>
            <w:tcW w:w="1914" w:type="pct"/>
            <w:gridSpan w:val="3"/>
            <w:vAlign w:val="center"/>
          </w:tcPr>
          <w:p w14:paraId="3D59EB48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全市居民</w:t>
            </w:r>
          </w:p>
        </w:tc>
        <w:tc>
          <w:tcPr>
            <w:tcW w:w="616" w:type="pct"/>
            <w:vAlign w:val="center"/>
          </w:tcPr>
          <w:p w14:paraId="7A47B369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≥90%</w:t>
            </w:r>
          </w:p>
        </w:tc>
        <w:tc>
          <w:tcPr>
            <w:tcW w:w="592" w:type="pct"/>
            <w:gridSpan w:val="2"/>
            <w:vAlign w:val="center"/>
          </w:tcPr>
          <w:p w14:paraId="52F50C92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snapToGrid/>
                <w:color w:val="auto"/>
                <w:kern w:val="2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96.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val="en-US" w:eastAsia="zh-CN"/>
              </w:rPr>
              <w:t>9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7"/>
                <w:szCs w:val="21"/>
                <w:lang w:eastAsia="zh-CN"/>
              </w:rPr>
              <w:t>%</w:t>
            </w:r>
          </w:p>
        </w:tc>
        <w:tc>
          <w:tcPr>
            <w:tcW w:w="893" w:type="pct"/>
            <w:vAlign w:val="center"/>
          </w:tcPr>
          <w:p w14:paraId="0105DC4D">
            <w:pPr>
              <w:pStyle w:val="5"/>
              <w:spacing w:line="200" w:lineRule="exact"/>
              <w:jc w:val="left"/>
              <w:rPr>
                <w:rFonts w:hint="eastAsia" w:ascii="Arial" w:hAnsi="Arial" w:eastAsia="宋体" w:cs="Arial"/>
                <w:color w:val="auto"/>
                <w:sz w:val="17"/>
                <w:szCs w:val="21"/>
                <w:lang w:eastAsia="zh-CN"/>
              </w:rPr>
            </w:pPr>
          </w:p>
        </w:tc>
      </w:tr>
      <w:tr w14:paraId="17A8C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85" w:type="pct"/>
            <w:vAlign w:val="center"/>
          </w:tcPr>
          <w:p w14:paraId="5706F9A2">
            <w:pPr>
              <w:spacing w:before="47" w:line="212" w:lineRule="auto"/>
              <w:ind w:left="114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18"/>
                <w:szCs w:val="18"/>
              </w:rPr>
              <w:t>说明</w:t>
            </w:r>
          </w:p>
        </w:tc>
        <w:tc>
          <w:tcPr>
            <w:tcW w:w="4714" w:type="pct"/>
            <w:gridSpan w:val="9"/>
            <w:vAlign w:val="center"/>
          </w:tcPr>
          <w:p w14:paraId="4DFC7DA5">
            <w:pPr>
              <w:spacing w:before="46" w:line="213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18"/>
                <w:szCs w:val="18"/>
                <w:lang w:val="en-US" w:eastAsia="zh-CN"/>
              </w:rPr>
              <w:t>无</w:t>
            </w:r>
          </w:p>
        </w:tc>
      </w:tr>
    </w:tbl>
    <w:p w14:paraId="24AF1A1D">
      <w:pPr>
        <w:spacing w:before="58" w:line="194" w:lineRule="auto"/>
        <w:ind w:left="109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pacing w:val="-9"/>
          <w:sz w:val="18"/>
          <w:szCs w:val="18"/>
        </w:rPr>
        <w:t>注：1.资金使用单位按项目绩效目标填报，主管部门汇总时按</w:t>
      </w:r>
      <w:r>
        <w:rPr>
          <w:rFonts w:hint="eastAsia" w:ascii="宋体" w:hAnsi="宋体" w:eastAsia="宋体" w:cs="宋体"/>
          <w:color w:val="auto"/>
          <w:spacing w:val="-10"/>
          <w:sz w:val="18"/>
          <w:szCs w:val="18"/>
        </w:rPr>
        <w:t>区域绩效目标填报。</w:t>
      </w:r>
    </w:p>
    <w:p w14:paraId="35DDC88F">
      <w:pPr>
        <w:spacing w:before="1" w:line="227" w:lineRule="auto"/>
        <w:ind w:left="109" w:right="704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pacing w:val="-9"/>
          <w:sz w:val="18"/>
          <w:szCs w:val="18"/>
        </w:rPr>
        <w:t>2.其他资金包括与中央财政资金、地方财政资金共同投入到同一项目的自有资产、社会</w:t>
      </w:r>
      <w:r>
        <w:rPr>
          <w:rFonts w:hint="eastAsia" w:ascii="宋体" w:hAnsi="宋体" w:eastAsia="宋体" w:cs="宋体"/>
          <w:color w:val="auto"/>
          <w:spacing w:val="-10"/>
          <w:sz w:val="18"/>
          <w:szCs w:val="18"/>
        </w:rPr>
        <w:t>资金，以及以前年度的结转结余资金等。</w:t>
      </w:r>
      <w:r>
        <w:rPr>
          <w:rFonts w:hint="eastAsia" w:ascii="宋体" w:hAnsi="宋体" w:eastAsia="宋体" w:cs="宋体"/>
          <w:color w:val="auto"/>
          <w:spacing w:val="-9"/>
          <w:sz w:val="18"/>
          <w:szCs w:val="18"/>
        </w:rPr>
        <w:t>3.全年执行数是指按照国库集中支付制度要求所形成的实际支出。</w:t>
      </w:r>
    </w:p>
    <w:p w14:paraId="6208A4E6">
      <w:bookmarkStart w:id="1" w:name="_GoBack"/>
      <w:bookmarkEnd w:id="1"/>
    </w:p>
    <w:sectPr>
      <w:pgSz w:w="16838" w:h="11906" w:orient="landscape"/>
      <w:pgMar w:top="1587" w:right="1587" w:bottom="1587" w:left="147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FC27B"/>
    <w:multiLevelType w:val="singleLevel"/>
    <w:tmpl w:val="A59FC2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77A0F"/>
    <w:rsid w:val="3107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2025-03-06T09:26:00Z</dcterms:created>
  <dc:creator>-</dc:creator>
  <cp:lastModifiedBy>-</cp:lastModifiedBy>
  <dcterms:modified xsi:type="dcterms:W3CDTF">2025-03-06T09:26:30Z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1C122DDEE70448628874D503802BFBF3_11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